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10" w:history="1">
        <w:r w:rsidR="001B19C0" w:rsidRPr="00E11BBD">
          <w:rPr>
            <w:rStyle w:val="Hyperlink"/>
            <w:rFonts w:ascii="Arial" w:hAnsi="Arial" w:cs="Arial"/>
            <w:b/>
            <w:sz w:val="24"/>
          </w:rPr>
          <w:t>code.administrator@energynetworks.org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</w:t>
      </w:r>
      <w:r w:rsidR="00D9349A">
        <w:rPr>
          <w:rFonts w:ascii="Arial" w:hAnsi="Arial" w:cs="Arial"/>
          <w:b/>
          <w:sz w:val="24"/>
        </w:rPr>
        <w:t>9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C2E0F" w:rsidP="003C2E0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Michael Scowcroft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3C2E0F" w:rsidP="006D341B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DNO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D0C42" w:rsidP="000D0C42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SP Energy Networks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C2E0F" w:rsidP="003C2E0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Michael.scowcroft</w:t>
                </w:r>
                <w:r w:rsidR="00C02D56" w:rsidRPr="00C02D56">
                  <w:rPr>
                    <w:rFonts w:ascii="Arial" w:hAnsi="Arial" w:cs="Arial"/>
                    <w:b/>
                    <w:sz w:val="24"/>
                  </w:rPr>
                  <w:t>@spenergynetworks.co.uk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C2E0F" w:rsidP="00C02D56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 xml:space="preserve"> 0141 6146277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6D341B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520A27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 - The current G39 authorisation process via DNO authorisation is fit for purpose and has a good track record. </w:t>
            </w:r>
          </w:p>
          <w:p w:rsidR="00520A27" w:rsidRDefault="00520A27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Please refer to the response submitted by the ENA SHEC which we support </w:t>
            </w:r>
          </w:p>
          <w:p w:rsidR="00BE2BAF" w:rsidRDefault="00BE2BAF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520A27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Please refer to the ENA SHEC response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951" w:rsidRDefault="006D6951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951" w:rsidRDefault="00520A27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Not at this time</w:t>
            </w:r>
          </w:p>
          <w:p w:rsidR="006D6951" w:rsidRDefault="006D695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951" w:rsidRDefault="006D695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951" w:rsidRDefault="006D695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6951" w:rsidRDefault="006D6951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2A49" w:rsidRDefault="00112A49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112A4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F9" w:rsidRDefault="00B14FF9" w:rsidP="00475CDA">
      <w:pPr>
        <w:spacing w:after="0" w:line="240" w:lineRule="auto"/>
      </w:pPr>
      <w:r>
        <w:separator/>
      </w:r>
    </w:p>
  </w:endnote>
  <w:end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112A49">
          <w:rPr>
            <w:rFonts w:ascii="Arial" w:hAnsi="Arial" w:cs="Arial"/>
            <w:noProof/>
          </w:rPr>
          <w:t>2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F9" w:rsidRDefault="00B14FF9" w:rsidP="00475CDA">
      <w:pPr>
        <w:spacing w:after="0" w:line="240" w:lineRule="auto"/>
      </w:pPr>
      <w:r>
        <w:separator/>
      </w:r>
    </w:p>
  </w:footnote>
  <w:footnote w:type="continuationSeparator" w:id="0">
    <w:p w:rsidR="00B14FF9" w:rsidRDefault="00B14FF9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29"/>
    <w:rsid w:val="000018C8"/>
    <w:rsid w:val="00051133"/>
    <w:rsid w:val="00056E7D"/>
    <w:rsid w:val="00090874"/>
    <w:rsid w:val="000D0C42"/>
    <w:rsid w:val="000D4729"/>
    <w:rsid w:val="0011169F"/>
    <w:rsid w:val="00112A49"/>
    <w:rsid w:val="001B19C0"/>
    <w:rsid w:val="002052CA"/>
    <w:rsid w:val="002258BC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03A7"/>
    <w:rsid w:val="00392738"/>
    <w:rsid w:val="00395270"/>
    <w:rsid w:val="003C2E0F"/>
    <w:rsid w:val="00464A8F"/>
    <w:rsid w:val="00475CDA"/>
    <w:rsid w:val="004C6121"/>
    <w:rsid w:val="005004A2"/>
    <w:rsid w:val="00520A27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B7482"/>
    <w:rsid w:val="006D341B"/>
    <w:rsid w:val="006D6951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E42EA"/>
    <w:rsid w:val="00BF2E94"/>
    <w:rsid w:val="00C02D56"/>
    <w:rsid w:val="00C87951"/>
    <w:rsid w:val="00CA1945"/>
    <w:rsid w:val="00D0235D"/>
    <w:rsid w:val="00D4152B"/>
    <w:rsid w:val="00D529D3"/>
    <w:rsid w:val="00D60AAA"/>
    <w:rsid w:val="00D85B3A"/>
    <w:rsid w:val="00D9349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ode.administrator@energynetworks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16602-A575-435A-AF86-24A8AAB0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IBERDROLA S.A.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gp064128</cp:lastModifiedBy>
  <cp:revision>5</cp:revision>
  <dcterms:created xsi:type="dcterms:W3CDTF">2018-10-19T14:17:00Z</dcterms:created>
  <dcterms:modified xsi:type="dcterms:W3CDTF">2018-10-19T15:17:00Z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-1915589871</vt:i4>
  </property>
  <property fmtid="{D5CDD505-2E9C-101B-9397-08002B2CF9AE}" pid="3" name="_NewReviewCycle">
    <vt:lpwstr/>
  </property>
  <property fmtid="{D5CDD505-2E9C-101B-9397-08002B2CF9AE}" pid="4" name="_EmailSubject">
    <vt:lpwstr>SPEN Response to the G39 Self-Authorisation</vt:lpwstr>
  </property>
  <property fmtid="{D5CDD505-2E9C-101B-9397-08002B2CF9AE}" pid="5" name="_AuthorEmail">
    <vt:lpwstr>Pam.Baker@spenergynetworks.co.uk</vt:lpwstr>
  </property>
  <property fmtid="{D5CDD505-2E9C-101B-9397-08002B2CF9AE}" pid="6" name="_AuthorEmailDisplayName">
    <vt:lpwstr>Baker, Pam</vt:lpwstr>
  </property>
</Properties>
</file>