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10" w:history="1">
        <w:r w:rsidR="001B19C0" w:rsidRPr="00E11BBD">
          <w:rPr>
            <w:rStyle w:val="Hyperlink"/>
            <w:rFonts w:ascii="Arial" w:hAnsi="Arial" w:cs="Arial"/>
            <w:b/>
            <w:sz w:val="24"/>
          </w:rPr>
          <w:t>code.administrator@energynetworks.org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</w:t>
      </w:r>
      <w:r w:rsidR="00D9349A">
        <w:rPr>
          <w:rFonts w:ascii="Arial" w:hAnsi="Arial" w:cs="Arial"/>
          <w:b/>
          <w:sz w:val="24"/>
        </w:rPr>
        <w:t>9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1F05C9" w:rsidP="001F05C9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Ian Jones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1F05C9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Local Authority. Other - please specify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1F05C9" w:rsidP="001F05C9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Cheshire West and Chester Council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1F05C9" w:rsidP="001F05C9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Ian.r.jones@cheshirewestandchester.gov.uk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sdt>
          <w:sdtPr>
            <w:rPr>
              <w:rFonts w:ascii="Arial" w:hAnsi="Arial" w:cs="Arial"/>
              <w:b/>
              <w:color w:val="808080"/>
              <w:sz w:val="24"/>
            </w:rPr>
            <w:alias w:val="Phone Number"/>
            <w:tag w:val="phone_number"/>
            <w:id w:val="-1553148916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1F05C9" w:rsidP="001F05C9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color w:val="808080"/>
                    <w:sz w:val="24"/>
                  </w:rPr>
                  <w:t>01244973557</w:t>
                </w:r>
                <w:r w:rsidR="00356603" w:rsidRPr="002052CA">
                  <w:rPr>
                    <w:rFonts w:ascii="Arial" w:hAnsi="Arial" w:cs="Arial"/>
                    <w:b/>
                    <w:color w:val="808080"/>
                    <w:sz w:val="24"/>
                  </w:rPr>
                  <w:t>.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1F05C9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1F05C9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1F05C9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1F05C9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have any other comments or observations you would like the Working Group to take into account</w:t>
            </w: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1F05C9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6A" w:rsidRDefault="002E156A" w:rsidP="00475CDA">
      <w:pPr>
        <w:spacing w:after="0" w:line="240" w:lineRule="auto"/>
      </w:pPr>
      <w:r>
        <w:separator/>
      </w:r>
    </w:p>
  </w:endnote>
  <w:endnote w:type="continuationSeparator" w:id="0">
    <w:p w:rsidR="002E156A" w:rsidRDefault="002E156A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1F05C9">
          <w:rPr>
            <w:rFonts w:ascii="Arial" w:hAnsi="Arial" w:cs="Arial"/>
            <w:noProof/>
          </w:rPr>
          <w:t>3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6A" w:rsidRDefault="002E156A" w:rsidP="00475CDA">
      <w:pPr>
        <w:spacing w:after="0" w:line="240" w:lineRule="auto"/>
      </w:pPr>
      <w:r>
        <w:separator/>
      </w:r>
    </w:p>
  </w:footnote>
  <w:footnote w:type="continuationSeparator" w:id="0">
    <w:p w:rsidR="002E156A" w:rsidRDefault="002E156A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11169F"/>
    <w:rsid w:val="001B19C0"/>
    <w:rsid w:val="001F05C9"/>
    <w:rsid w:val="002052CA"/>
    <w:rsid w:val="00237C37"/>
    <w:rsid w:val="00237C7B"/>
    <w:rsid w:val="00263FB2"/>
    <w:rsid w:val="002A5BB0"/>
    <w:rsid w:val="002E156A"/>
    <w:rsid w:val="002E29D1"/>
    <w:rsid w:val="002E4339"/>
    <w:rsid w:val="002E5806"/>
    <w:rsid w:val="00314225"/>
    <w:rsid w:val="00356603"/>
    <w:rsid w:val="00366A3E"/>
    <w:rsid w:val="00392738"/>
    <w:rsid w:val="00395270"/>
    <w:rsid w:val="00464A8F"/>
    <w:rsid w:val="00475CDA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85B3A"/>
    <w:rsid w:val="00D9349A"/>
    <w:rsid w:val="00DA0053"/>
    <w:rsid w:val="00DB0EDE"/>
    <w:rsid w:val="00E121F1"/>
    <w:rsid w:val="00E14DF0"/>
    <w:rsid w:val="00E46678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code.administrator@energynetworks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B676B"/>
    <w:rsid w:val="002771F5"/>
    <w:rsid w:val="005B676B"/>
    <w:rsid w:val="00867E16"/>
    <w:rsid w:val="00954729"/>
    <w:rsid w:val="00962787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0DAD9-B756-4498-955C-31692994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E0BCEA1B</Template>
  <TotalTime>8</TotalTime>
  <Pages>3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JONES, Ian (Street Lighting)</cp:lastModifiedBy>
  <cp:revision>10</cp:revision>
  <dcterms:created xsi:type="dcterms:W3CDTF">2018-07-18T17:29:00Z</dcterms:created>
  <dcterms:modified xsi:type="dcterms:W3CDTF">2018-09-14T07:53:00Z</dcterms:modified>
</cp:coreProperties>
</file>